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9CC2E5" w:themeColor="accent1" w:themeTint="99"/>
  <w:body>
    <w:p w:rsidR="00CC16E4" w:rsidRDefault="00CF142D" w:rsidP="00CF142D">
      <w:pPr>
        <w:shd w:val="clear" w:color="auto" w:fill="9CC2E5" w:themeFill="accent1" w:themeFillTint="99"/>
        <w:spacing w:after="0" w:line="240" w:lineRule="auto"/>
        <w:outlineLvl w:val="0"/>
        <w:rPr>
          <w:rFonts w:ascii="Inter" w:eastAsia="Times New Roman" w:hAnsi="Inter" w:cs="Times New Roman"/>
          <w:b/>
          <w:bCs/>
          <w:color w:val="FFFFFF"/>
          <w:kern w:val="36"/>
          <w:sz w:val="48"/>
          <w:szCs w:val="48"/>
          <w:lang w:eastAsia="ru-RU"/>
        </w:rPr>
      </w:pPr>
      <w:r>
        <w:rPr>
          <w:rFonts w:ascii="Inter" w:eastAsia="Times New Roman" w:hAnsi="Inter" w:cs="Times New Roman"/>
          <w:b/>
          <w:bCs/>
          <w:color w:val="FFFFFF"/>
          <w:kern w:val="36"/>
          <w:sz w:val="48"/>
          <w:szCs w:val="48"/>
          <w:lang w:eastAsia="ru-RU"/>
        </w:rPr>
        <w:t>Свято-Покровский женский монастырь</w:t>
      </w:r>
    </w:p>
    <w:p w:rsidR="00CF142D" w:rsidRDefault="00CF142D" w:rsidP="00CF142D">
      <w:pPr>
        <w:shd w:val="clear" w:color="auto" w:fill="9CC2E5" w:themeFill="accent1" w:themeFillTint="99"/>
        <w:spacing w:after="0" w:line="240" w:lineRule="auto"/>
        <w:outlineLvl w:val="0"/>
        <w:rPr>
          <w:rFonts w:ascii="Inter" w:eastAsia="Times New Roman" w:hAnsi="Inter" w:cs="Times New Roman"/>
          <w:b/>
          <w:bCs/>
          <w:color w:val="FFFFFF"/>
          <w:kern w:val="36"/>
          <w:sz w:val="48"/>
          <w:szCs w:val="48"/>
          <w:lang w:eastAsia="ru-RU"/>
        </w:rPr>
      </w:pPr>
      <w:r>
        <w:rPr>
          <w:rFonts w:ascii="Inter" w:eastAsia="Times New Roman" w:hAnsi="Inter" w:cs="Times New Roman" w:hint="eastAsia"/>
          <w:b/>
          <w:bCs/>
          <w:color w:val="FFFFFF"/>
          <w:kern w:val="36"/>
          <w:sz w:val="48"/>
          <w:szCs w:val="48"/>
          <w:lang w:eastAsia="ru-RU"/>
        </w:rPr>
        <w:t>М</w:t>
      </w:r>
      <w:r>
        <w:rPr>
          <w:rFonts w:ascii="Inter" w:eastAsia="Times New Roman" w:hAnsi="Inter" w:cs="Times New Roman"/>
          <w:b/>
          <w:bCs/>
          <w:color w:val="FFFFFF"/>
          <w:kern w:val="36"/>
          <w:sz w:val="48"/>
          <w:szCs w:val="48"/>
          <w:lang w:eastAsia="ru-RU"/>
        </w:rPr>
        <w:t>есто нахождения: г. Толочин, ул. Ленина</w:t>
      </w:r>
    </w:p>
    <w:p w:rsidR="00CF142D" w:rsidRPr="00CF142D" w:rsidRDefault="00CF142D" w:rsidP="00CF142D">
      <w:pPr>
        <w:shd w:val="clear" w:color="auto" w:fill="9CC2E5" w:themeFill="accent1" w:themeFillTint="99"/>
        <w:spacing w:after="0" w:line="240" w:lineRule="auto"/>
        <w:outlineLvl w:val="0"/>
        <w:rPr>
          <w:rFonts w:ascii="Inter" w:eastAsia="Times New Roman" w:hAnsi="Inter" w:cs="Times New Roman"/>
          <w:b/>
          <w:bCs/>
          <w:color w:val="FFFFFF"/>
          <w:kern w:val="36"/>
          <w:sz w:val="48"/>
          <w:szCs w:val="48"/>
          <w:lang w:eastAsia="ru-RU"/>
        </w:rPr>
      </w:pPr>
      <w:r>
        <w:rPr>
          <w:rFonts w:ascii="Inter" w:eastAsia="Times New Roman" w:hAnsi="Inter" w:cs="Times New Roman"/>
          <w:b/>
          <w:bCs/>
          <w:noProof/>
          <w:color w:val="FFFFFF"/>
          <w:kern w:val="36"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4445</wp:posOffset>
            </wp:positionV>
            <wp:extent cx="3643260" cy="3810000"/>
            <wp:effectExtent l="0" t="0" r="0" b="0"/>
            <wp:wrapTight wrapText="bothSides">
              <wp:wrapPolygon edited="0">
                <wp:start x="0" y="0"/>
                <wp:lineTo x="0" y="21492"/>
                <wp:lineTo x="21461" y="21492"/>
                <wp:lineTo x="2146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 (4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326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111111"/>
          <w:sz w:val="30"/>
          <w:szCs w:val="30"/>
        </w:rPr>
        <w:t>Монастырь является одним из немногих храмовых сооружений, дошедших до наших дней, которые возводились на месте и на основе самых первых в Беларуси православных храмов.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 xml:space="preserve">В 1604 году в Толочине, на месте, где стояла православная церковь, и на ее основе, канцлером Великого княжества Литовского Львом </w:t>
      </w:r>
      <w:proofErr w:type="spellStart"/>
      <w:r>
        <w:rPr>
          <w:color w:val="111111"/>
          <w:sz w:val="30"/>
          <w:szCs w:val="30"/>
        </w:rPr>
        <w:t>Сапегой</w:t>
      </w:r>
      <w:proofErr w:type="spellEnd"/>
      <w:r>
        <w:rPr>
          <w:color w:val="111111"/>
          <w:sz w:val="30"/>
          <w:szCs w:val="30"/>
        </w:rPr>
        <w:t xml:space="preserve"> была построена просторная каменная церковь в стиле ренессанс, «…внутри высокая просторная и благолепная», в которой православные молились до 1726 года. В 1769 году – это </w:t>
      </w:r>
      <w:proofErr w:type="spellStart"/>
      <w:r>
        <w:rPr>
          <w:color w:val="111111"/>
          <w:sz w:val="30"/>
          <w:szCs w:val="30"/>
        </w:rPr>
        <w:t>базилианский</w:t>
      </w:r>
      <w:proofErr w:type="spellEnd"/>
      <w:r>
        <w:rPr>
          <w:color w:val="111111"/>
          <w:sz w:val="30"/>
          <w:szCs w:val="30"/>
        </w:rPr>
        <w:t xml:space="preserve"> монастырь. На базе данной церкви пристроена </w:t>
      </w:r>
      <w:proofErr w:type="spellStart"/>
      <w:r>
        <w:rPr>
          <w:color w:val="111111"/>
          <w:sz w:val="30"/>
          <w:szCs w:val="30"/>
        </w:rPr>
        <w:t>трехнефная</w:t>
      </w:r>
      <w:proofErr w:type="spellEnd"/>
      <w:r>
        <w:rPr>
          <w:color w:val="111111"/>
          <w:sz w:val="30"/>
          <w:szCs w:val="30"/>
        </w:rPr>
        <w:t xml:space="preserve"> двухъярусная базилика с двумя сакристиями в стиле барокко, обновлены элементы интерьера. 1779 год – построены монастырский корпус и школа.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proofErr w:type="spellStart"/>
      <w:r>
        <w:rPr>
          <w:color w:val="111111"/>
          <w:sz w:val="30"/>
          <w:szCs w:val="30"/>
        </w:rPr>
        <w:t>Толочинская</w:t>
      </w:r>
      <w:proofErr w:type="spellEnd"/>
      <w:r>
        <w:rPr>
          <w:color w:val="111111"/>
          <w:sz w:val="30"/>
          <w:szCs w:val="30"/>
        </w:rPr>
        <w:t xml:space="preserve"> Свято-Покровская церковь относится к памятникам архитектуры </w:t>
      </w:r>
      <w:proofErr w:type="spellStart"/>
      <w:r>
        <w:rPr>
          <w:color w:val="111111"/>
          <w:sz w:val="30"/>
          <w:szCs w:val="30"/>
        </w:rPr>
        <w:t>виленского</w:t>
      </w:r>
      <w:proofErr w:type="spellEnd"/>
      <w:r>
        <w:rPr>
          <w:color w:val="111111"/>
          <w:sz w:val="30"/>
          <w:szCs w:val="30"/>
        </w:rPr>
        <w:t xml:space="preserve"> барокко и стоит в одном ряду с Софийским собором в Полоцке и костелом кармелитов в Глубоком. Уникальность этого памятника в том, что в русле позднего </w:t>
      </w:r>
      <w:proofErr w:type="spellStart"/>
      <w:r>
        <w:rPr>
          <w:color w:val="111111"/>
          <w:sz w:val="30"/>
          <w:szCs w:val="30"/>
        </w:rPr>
        <w:t>виленского</w:t>
      </w:r>
      <w:proofErr w:type="spellEnd"/>
      <w:r>
        <w:rPr>
          <w:color w:val="111111"/>
          <w:sz w:val="30"/>
          <w:szCs w:val="30"/>
        </w:rPr>
        <w:t xml:space="preserve"> барокко была создана практически единственная в Беларуси церковь с </w:t>
      </w:r>
      <w:proofErr w:type="spellStart"/>
      <w:r>
        <w:rPr>
          <w:color w:val="111111"/>
          <w:sz w:val="30"/>
          <w:szCs w:val="30"/>
        </w:rPr>
        <w:t>двухбашенным</w:t>
      </w:r>
      <w:proofErr w:type="spellEnd"/>
      <w:r>
        <w:rPr>
          <w:color w:val="111111"/>
          <w:sz w:val="30"/>
          <w:szCs w:val="30"/>
        </w:rPr>
        <w:t xml:space="preserve"> фасадом. Серьезные исследования храма показали, что он содержит много аутентичных элементов, восходящих ко времени его закладки в XVI в. – части стен, фундамент, двери, система подземных ходов, имеющих оборонительное значение, </w:t>
      </w:r>
      <w:proofErr w:type="spellStart"/>
      <w:r>
        <w:rPr>
          <w:color w:val="111111"/>
          <w:sz w:val="30"/>
          <w:szCs w:val="30"/>
        </w:rPr>
        <w:t>прихрамовые</w:t>
      </w:r>
      <w:proofErr w:type="spellEnd"/>
      <w:r>
        <w:rPr>
          <w:color w:val="111111"/>
          <w:sz w:val="30"/>
          <w:szCs w:val="30"/>
        </w:rPr>
        <w:t xml:space="preserve"> погребения и др. На их базе, в XVIII в., в городе была возведена униатская церковь, ставшая в начале XIX в. православным храмом.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 xml:space="preserve">На базе монастырской школы храма, по распоряжению императора Николая I, начали учиться молодые люди, которым предстояло стать первыми в Беларуси, подготовленными после двухвекового перерыва, православными священниками. В библиотеке монастыря насчитывались сотни томов. Это была в основном учебная литература религиозного, философского, исторического содержания – словари, учебники и поэтические сборники. Записи о принадлежности книг </w:t>
      </w:r>
      <w:proofErr w:type="spellStart"/>
      <w:r>
        <w:rPr>
          <w:color w:val="111111"/>
          <w:sz w:val="30"/>
          <w:szCs w:val="30"/>
        </w:rPr>
        <w:t>Толочинскому</w:t>
      </w:r>
      <w:proofErr w:type="spellEnd"/>
      <w:r>
        <w:rPr>
          <w:color w:val="111111"/>
          <w:sz w:val="30"/>
          <w:szCs w:val="30"/>
        </w:rPr>
        <w:t xml:space="preserve"> монастырю за 1788, 1806, 1809, 1811, 1825, 1830, 1833 гг. свидетельствуют о регулярном пополнении фондов. Книги изданы в типографиях Вильно, Санкт-Петербурга, Варшавы.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lastRenderedPageBreak/>
        <w:t xml:space="preserve">В ночь с 22 на 23 ноября 1812 г. в здании монастырского корпуса останавливался на ночлег император Наполеон Бонапарт. Именно здесь, по воспоминаниям его адъютанта, генерала </w:t>
      </w:r>
      <w:proofErr w:type="spellStart"/>
      <w:r>
        <w:rPr>
          <w:color w:val="111111"/>
          <w:sz w:val="30"/>
          <w:szCs w:val="30"/>
        </w:rPr>
        <w:t>французкой</w:t>
      </w:r>
      <w:proofErr w:type="spellEnd"/>
      <w:r>
        <w:rPr>
          <w:color w:val="111111"/>
          <w:sz w:val="30"/>
          <w:szCs w:val="30"/>
        </w:rPr>
        <w:t xml:space="preserve"> армии </w:t>
      </w:r>
      <w:proofErr w:type="spellStart"/>
      <w:r>
        <w:rPr>
          <w:color w:val="111111"/>
          <w:sz w:val="30"/>
          <w:szCs w:val="30"/>
        </w:rPr>
        <w:t>Армана</w:t>
      </w:r>
      <w:proofErr w:type="spellEnd"/>
      <w:r>
        <w:rPr>
          <w:color w:val="111111"/>
          <w:sz w:val="30"/>
          <w:szCs w:val="30"/>
        </w:rPr>
        <w:t xml:space="preserve"> де </w:t>
      </w:r>
      <w:proofErr w:type="spellStart"/>
      <w:r>
        <w:rPr>
          <w:color w:val="111111"/>
          <w:sz w:val="30"/>
          <w:szCs w:val="30"/>
        </w:rPr>
        <w:t>Коленкура</w:t>
      </w:r>
      <w:proofErr w:type="spellEnd"/>
      <w:r>
        <w:rPr>
          <w:color w:val="111111"/>
          <w:sz w:val="30"/>
          <w:szCs w:val="30"/>
        </w:rPr>
        <w:t>, Наполеон получил сведения о том, что мост через Березину разрушен, и принял решение уничтожить архивы и эмблемы всех корпусов французской армии.</w:t>
      </w:r>
    </w:p>
    <w:p w:rsidR="00CF142D" w:rsidRDefault="00B16E97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noProof/>
          <w:color w:val="111111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635</wp:posOffset>
            </wp:positionV>
            <wp:extent cx="262890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43" y="21363"/>
                <wp:lineTo x="2144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 (7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42D">
        <w:rPr>
          <w:color w:val="111111"/>
          <w:sz w:val="30"/>
          <w:szCs w:val="30"/>
        </w:rPr>
        <w:t xml:space="preserve">О патриотической работе церквей области за 1945 г. говорится в отчете уполномоченного Совета по делам Русской Православной Церкви по Витебской области за IV квартал 1945 г.: «Более значительную работу в этой области провел священник </w:t>
      </w:r>
      <w:proofErr w:type="spellStart"/>
      <w:r w:rsidR="00CF142D">
        <w:rPr>
          <w:color w:val="111111"/>
          <w:sz w:val="30"/>
          <w:szCs w:val="30"/>
        </w:rPr>
        <w:t>Толочинской</w:t>
      </w:r>
      <w:proofErr w:type="spellEnd"/>
      <w:r w:rsidR="00CF142D">
        <w:rPr>
          <w:color w:val="111111"/>
          <w:sz w:val="30"/>
          <w:szCs w:val="30"/>
        </w:rPr>
        <w:t xml:space="preserve"> церкви </w:t>
      </w:r>
      <w:proofErr w:type="spellStart"/>
      <w:r w:rsidR="00CF142D">
        <w:rPr>
          <w:color w:val="111111"/>
          <w:sz w:val="30"/>
          <w:szCs w:val="30"/>
        </w:rPr>
        <w:t>Толочинского</w:t>
      </w:r>
      <w:proofErr w:type="spellEnd"/>
      <w:r w:rsidR="00CF142D">
        <w:rPr>
          <w:color w:val="111111"/>
          <w:sz w:val="30"/>
          <w:szCs w:val="30"/>
        </w:rPr>
        <w:t xml:space="preserve"> района, он — же благочинный – Абрамов. Внесено в фонд Красной Армии – 10000 руб., в помощь детям – сиротам – 12000 руб., на заем церковь подписалась на 15000 руб. и причт – на 5000 руб. </w:t>
      </w:r>
      <w:proofErr w:type="spellStart"/>
      <w:r w:rsidR="00CF142D">
        <w:rPr>
          <w:color w:val="111111"/>
          <w:sz w:val="30"/>
          <w:szCs w:val="30"/>
        </w:rPr>
        <w:t>Славенская</w:t>
      </w:r>
      <w:proofErr w:type="spellEnd"/>
      <w:r w:rsidR="00CF142D">
        <w:rPr>
          <w:color w:val="111111"/>
          <w:sz w:val="30"/>
          <w:szCs w:val="30"/>
        </w:rPr>
        <w:t xml:space="preserve"> церковь того – же района собрала 8000 рублей. Остальные церкви области собрали значительно меньше – от 5000 до 1000 рублей».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 xml:space="preserve">В годы советской власти приходу принадлежало только здание храма. Здание монастырского корпуса было отдано военкомату, здание школы – вневедомственной охране. 28 ноября 1996 г. решением </w:t>
      </w:r>
      <w:proofErr w:type="spellStart"/>
      <w:r>
        <w:rPr>
          <w:color w:val="111111"/>
          <w:sz w:val="30"/>
          <w:szCs w:val="30"/>
        </w:rPr>
        <w:t>Толочинского</w:t>
      </w:r>
      <w:proofErr w:type="spellEnd"/>
      <w:r>
        <w:rPr>
          <w:color w:val="111111"/>
          <w:sz w:val="30"/>
          <w:szCs w:val="30"/>
        </w:rPr>
        <w:t xml:space="preserve"> райисполкома приходу возвращено здание бывшего жилого корпуса монастыря и закреплена территория, прилегающая к зданию.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Храм Покрова Пресвятой Богородицы и монастырский корпус признаны памятником архитектуры 2 категории (от 28.02.2002г.).</w:t>
      </w:r>
    </w:p>
    <w:p w:rsidR="00CF142D" w:rsidRDefault="00B16E97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noProof/>
          <w:color w:val="111111"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0FAF591F" wp14:editId="54FAA0D9">
            <wp:simplePos x="0" y="0"/>
            <wp:positionH relativeFrom="margin">
              <wp:posOffset>3068955</wp:posOffset>
            </wp:positionH>
            <wp:positionV relativeFrom="margin">
              <wp:posOffset>6163310</wp:posOffset>
            </wp:positionV>
            <wp:extent cx="3605530" cy="240601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 (5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553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42D">
        <w:rPr>
          <w:color w:val="111111"/>
          <w:sz w:val="30"/>
          <w:szCs w:val="30"/>
        </w:rPr>
        <w:t xml:space="preserve">Покровская церковь – </w:t>
      </w:r>
      <w:proofErr w:type="spellStart"/>
      <w:r w:rsidR="00CF142D">
        <w:rPr>
          <w:color w:val="111111"/>
          <w:sz w:val="30"/>
          <w:szCs w:val="30"/>
        </w:rPr>
        <w:t>трехнефовая</w:t>
      </w:r>
      <w:proofErr w:type="spellEnd"/>
      <w:r w:rsidR="00CF142D">
        <w:rPr>
          <w:color w:val="111111"/>
          <w:sz w:val="30"/>
          <w:szCs w:val="30"/>
        </w:rPr>
        <w:t xml:space="preserve"> </w:t>
      </w:r>
      <w:proofErr w:type="spellStart"/>
      <w:r w:rsidR="00CF142D">
        <w:rPr>
          <w:color w:val="111111"/>
          <w:sz w:val="30"/>
          <w:szCs w:val="30"/>
        </w:rPr>
        <w:t>двухбашенная</w:t>
      </w:r>
      <w:proofErr w:type="spellEnd"/>
      <w:r w:rsidR="00CF142D">
        <w:rPr>
          <w:color w:val="111111"/>
          <w:sz w:val="30"/>
          <w:szCs w:val="30"/>
        </w:rPr>
        <w:t xml:space="preserve"> базилика с двумя </w:t>
      </w:r>
      <w:proofErr w:type="spellStart"/>
      <w:r w:rsidR="00CF142D">
        <w:rPr>
          <w:color w:val="111111"/>
          <w:sz w:val="30"/>
          <w:szCs w:val="30"/>
        </w:rPr>
        <w:t>сокрестиями</w:t>
      </w:r>
      <w:proofErr w:type="spellEnd"/>
      <w:r w:rsidR="00CF142D">
        <w:rPr>
          <w:color w:val="111111"/>
          <w:sz w:val="30"/>
          <w:szCs w:val="30"/>
        </w:rPr>
        <w:t xml:space="preserve">. В северо-восточной части здания устроены хоры. Храм обладает отличной акустикой. Главный фасад расчленен на три части. Боковые фасады решены </w:t>
      </w:r>
      <w:proofErr w:type="spellStart"/>
      <w:r w:rsidR="00CF142D">
        <w:rPr>
          <w:color w:val="111111"/>
          <w:sz w:val="30"/>
          <w:szCs w:val="30"/>
        </w:rPr>
        <w:t>плоскостно</w:t>
      </w:r>
      <w:proofErr w:type="spellEnd"/>
      <w:r w:rsidR="00CF142D">
        <w:rPr>
          <w:color w:val="111111"/>
          <w:sz w:val="30"/>
          <w:szCs w:val="30"/>
        </w:rPr>
        <w:t>. Внешний декор имеет отличительные черты барокко. Цокольная часть главного фасада и верха башен имеют классическую трактовку. В таком виде храм сохранился до наших дней. Сохранившиеся исторические сооружения монастыря – церковь Покрова Пресвятой Богородицы, жилой корпус, здание школы – принадлежат к числу памятников истории и архитектуры Беларуси, а также включены в «</w:t>
      </w:r>
      <w:proofErr w:type="spellStart"/>
      <w:r w:rsidR="00CF142D">
        <w:rPr>
          <w:color w:val="111111"/>
          <w:sz w:val="30"/>
          <w:szCs w:val="30"/>
        </w:rPr>
        <w:t>Збор</w:t>
      </w:r>
      <w:proofErr w:type="spellEnd"/>
      <w:r w:rsidR="00CF142D">
        <w:rPr>
          <w:color w:val="111111"/>
          <w:sz w:val="30"/>
          <w:szCs w:val="30"/>
        </w:rPr>
        <w:t xml:space="preserve"> </w:t>
      </w:r>
      <w:proofErr w:type="spellStart"/>
      <w:r w:rsidR="00CF142D">
        <w:rPr>
          <w:color w:val="111111"/>
          <w:sz w:val="30"/>
          <w:szCs w:val="30"/>
        </w:rPr>
        <w:t>помнiкау</w:t>
      </w:r>
      <w:proofErr w:type="spellEnd"/>
      <w:r w:rsidR="00CF142D">
        <w:rPr>
          <w:color w:val="111111"/>
          <w:sz w:val="30"/>
          <w:szCs w:val="30"/>
        </w:rPr>
        <w:t xml:space="preserve"> </w:t>
      </w:r>
      <w:proofErr w:type="spellStart"/>
      <w:r w:rsidR="00CF142D">
        <w:rPr>
          <w:color w:val="111111"/>
          <w:sz w:val="30"/>
          <w:szCs w:val="30"/>
        </w:rPr>
        <w:t>гiсторыi</w:t>
      </w:r>
      <w:proofErr w:type="spellEnd"/>
      <w:r w:rsidR="00CF142D">
        <w:rPr>
          <w:color w:val="111111"/>
          <w:sz w:val="30"/>
          <w:szCs w:val="30"/>
        </w:rPr>
        <w:t xml:space="preserve"> i культуры» по Витебской области. За ними, как частью монастырского ансамбля, закреплен статус памятников. Храм имеет редчайший в Беларуси каменный иконостас.</w:t>
      </w:r>
    </w:p>
    <w:p w:rsidR="00CF142D" w:rsidRDefault="00B16E97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bookmarkStart w:id="0" w:name="_GoBack"/>
      <w:r>
        <w:rPr>
          <w:noProof/>
          <w:color w:val="111111"/>
          <w:sz w:val="30"/>
          <w:szCs w:val="30"/>
        </w:rPr>
        <w:lastRenderedPageBreak/>
        <w:drawing>
          <wp:anchor distT="0" distB="0" distL="114300" distR="114300" simplePos="0" relativeHeight="251661312" behindDoc="0" locked="0" layoutInCell="1" allowOverlap="1" wp14:anchorId="0EE7B2A3" wp14:editId="69BCDC26">
            <wp:simplePos x="0" y="0"/>
            <wp:positionH relativeFrom="margin">
              <wp:posOffset>-19050</wp:posOffset>
            </wp:positionH>
            <wp:positionV relativeFrom="margin">
              <wp:posOffset>723900</wp:posOffset>
            </wp:positionV>
            <wp:extent cx="2619375" cy="2619375"/>
            <wp:effectExtent l="0" t="0" r="9525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s (6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CF142D">
        <w:rPr>
          <w:color w:val="111111"/>
          <w:sz w:val="30"/>
          <w:szCs w:val="30"/>
        </w:rPr>
        <w:t xml:space="preserve">В тезисах архитектора </w:t>
      </w:r>
      <w:proofErr w:type="spellStart"/>
      <w:r w:rsidR="00CF142D">
        <w:rPr>
          <w:color w:val="111111"/>
          <w:sz w:val="30"/>
          <w:szCs w:val="30"/>
        </w:rPr>
        <w:t>Колбовича</w:t>
      </w:r>
      <w:proofErr w:type="spellEnd"/>
      <w:r w:rsidR="00CF142D">
        <w:rPr>
          <w:color w:val="111111"/>
          <w:sz w:val="30"/>
          <w:szCs w:val="30"/>
        </w:rPr>
        <w:t xml:space="preserve"> Е. К., назначенного Министерством культуры Республики Беларусь научным руководителем историко-культурной ценности – монастырского комплекса, сделан вывод: «…Свято-Покровский храм является единственным храмом на территории Витебской области, сохранившимся с 1604 г. в своих первоначальных формах. Все конструкции храма и декоративные элементы являются подлинными с начала его создания. Территория и постройки монастыря составляют единый комплекс, сохранилась подлинная ограда и въездная брама, элементы ландшафта. Даже беглое знакомство с историей и архитектурой комплекса позволяет сделать вывод, что по всем составляющим монастырь может быть включен в списки Всемирного наследия».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В 2004 г. храм Покрова Пресвятой Богородицы отметил своё четырёхсотлетие. Храм, один из немногих на постсоветском пространстве, который никогда не прекращал своей деятельности.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111111"/>
          <w:sz w:val="30"/>
          <w:szCs w:val="30"/>
        </w:rPr>
        <w:t>10 октября 2004 года решением Священного Синода Белорусской Православной Церкви Свято-Покровский женский монастырь начал свое возрождение.</w:t>
      </w:r>
    </w:p>
    <w:p w:rsidR="00CF142D" w:rsidRDefault="00CF142D" w:rsidP="00CF142D">
      <w:pPr>
        <w:pStyle w:val="a3"/>
        <w:shd w:val="clear" w:color="auto" w:fill="9CC2E5" w:themeFill="accent1" w:themeFillTint="99"/>
        <w:spacing w:before="150" w:beforeAutospacing="0" w:after="18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proofErr w:type="spellStart"/>
      <w:r>
        <w:rPr>
          <w:color w:val="111111"/>
          <w:sz w:val="30"/>
          <w:szCs w:val="30"/>
        </w:rPr>
        <w:t>Толочинская</w:t>
      </w:r>
      <w:proofErr w:type="spellEnd"/>
      <w:r>
        <w:rPr>
          <w:color w:val="111111"/>
          <w:sz w:val="30"/>
          <w:szCs w:val="30"/>
        </w:rPr>
        <w:t xml:space="preserve"> Свято-Покровская женская обитель – это истинно белорусский монастырь, в нем получили отражение перипетии сложнейшей истории края, воплощение духовной, материальной, художественной культуры белорусов. К тому же наша местность изобилует целебными источниками. В результате инженерно-геологических изысканий, под храмом найдены два источника, которые упоминаются в архивных документах еще в 1889 году. Рядом с центральным входом на территорию монастыря построили часовню в афонском стиле, в которую из-под алтаря главного храма подвели по трубам криницу, открытую и завещанную нам нашими прадедами. Это святая, целебная вода. За зданием монастыря построена уютная купальня под крышей, в которой смонтированы два бассейна с проточной водой. Рядом большой искусственный водоем под открытым небом.</w:t>
      </w:r>
    </w:p>
    <w:p w:rsidR="00CF142D" w:rsidRPr="00CF142D" w:rsidRDefault="00CF142D" w:rsidP="00CF142D">
      <w:pPr>
        <w:shd w:val="clear" w:color="auto" w:fill="9CC2E5" w:themeFill="accent1" w:themeFillTint="99"/>
        <w:spacing w:after="0" w:line="240" w:lineRule="auto"/>
        <w:outlineLvl w:val="0"/>
        <w:rPr>
          <w:rFonts w:ascii="Inter" w:eastAsia="Times New Roman" w:hAnsi="Inter" w:cs="Times New Roman"/>
          <w:b/>
          <w:bCs/>
          <w:color w:val="FFFFFF"/>
          <w:kern w:val="36"/>
          <w:sz w:val="48"/>
          <w:szCs w:val="48"/>
          <w:lang w:eastAsia="ru-RU"/>
        </w:rPr>
      </w:pPr>
    </w:p>
    <w:sectPr w:rsidR="00CF142D" w:rsidRPr="00CF142D" w:rsidSect="00CF142D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2D"/>
    <w:rsid w:val="00B16E97"/>
    <w:rsid w:val="00CC16E4"/>
    <w:rsid w:val="00CF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861EB"/>
  <w15:chartTrackingRefBased/>
  <w15:docId w15:val="{052AE184-645E-467A-860A-AEC6DA3F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14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4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F1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7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80582-C53A-453D-87E2-CE1E4D499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2026-10-06T05:22:00Z</dcterms:created>
  <dcterms:modified xsi:type="dcterms:W3CDTF">2026-10-06T05:39:00Z</dcterms:modified>
</cp:coreProperties>
</file>